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817E4C0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246113">
        <w:rPr>
          <w:rFonts w:asciiTheme="minorHAnsi" w:hAnsiTheme="minorHAnsi" w:cs="Arial"/>
          <w:b/>
          <w:sz w:val="20"/>
          <w:szCs w:val="20"/>
        </w:rPr>
        <w:t>30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3C7F875" w14:textId="3DA23139" w:rsidR="007B5422" w:rsidRPr="007B5422" w:rsidRDefault="00246113" w:rsidP="007B5422">
      <w:pPr>
        <w:spacing w:after="120"/>
        <w:ind w:left="360"/>
        <w:jc w:val="both"/>
        <w:rPr>
          <w:rFonts w:asciiTheme="minorHAnsi" w:hAnsiTheme="minorHAnsi" w:cs="Helvetica"/>
          <w:sz w:val="20"/>
          <w:szCs w:val="21"/>
        </w:rPr>
      </w:pPr>
      <w:r>
        <w:rPr>
          <w:rFonts w:asciiTheme="minorHAnsi" w:hAnsiTheme="minorHAnsi" w:cs="Helvetica"/>
          <w:sz w:val="20"/>
          <w:szCs w:val="21"/>
        </w:rPr>
        <w:t>39717200-3 – Urządzenia klimatyzacyjne</w:t>
      </w:r>
      <w:r w:rsidR="007B5422" w:rsidRPr="007B5422">
        <w:rPr>
          <w:rFonts w:asciiTheme="minorHAnsi" w:hAnsiTheme="minorHAnsi" w:cs="Helvetica"/>
          <w:sz w:val="20"/>
          <w:szCs w:val="21"/>
        </w:rPr>
        <w:t xml:space="preserve">; 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0B25A8C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31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246113">
        <w:rPr>
          <w:rFonts w:asciiTheme="minorHAnsi" w:hAnsiTheme="minorHAnsi" w:cs="Arial"/>
          <w:b/>
          <w:color w:val="auto"/>
          <w:sz w:val="20"/>
          <w:szCs w:val="20"/>
        </w:rPr>
        <w:t>8</w:t>
      </w:r>
      <w:bookmarkStart w:id="0" w:name="_GoBack"/>
      <w:bookmarkEnd w:id="0"/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46113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66FE-DBB8-440E-B29B-865BD519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2018-07-13T12:04:00Z</dcterms:created>
  <dcterms:modified xsi:type="dcterms:W3CDTF">2018-07-13T12:04:00Z</dcterms:modified>
</cp:coreProperties>
</file>